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ind w:right="-1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Приложение 9</w:t>
      </w:r>
    </w:p>
    <w:p>
      <w:pPr>
        <w:ind w:right="-1"/>
        <w:jc w:val="right"/>
        <w:rPr>
          <w:rFonts w:ascii="Times New Roman" w:hAnsi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outlineLvl w:val="2"/>
        <w:rPr>
          <w:rFonts w:ascii="Times New Roman" w:hAnsi="Times New Roman"/>
          <w:sz w:val="24"/>
          <w:szCs w:val="24"/>
        </w:rPr>
      </w:pP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</w:t>
      </w: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реализации мероприятий и ресурсном обеспечении реализации</w:t>
      </w: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proofErr w:type="gramStart"/>
      <w:r>
        <w:rPr>
          <w:rFonts w:ascii="Times New Roman" w:hAnsi="Times New Roman"/>
          <w:sz w:val="24"/>
          <w:szCs w:val="24"/>
        </w:rPr>
        <w:t>обеспечивающей</w:t>
      </w:r>
      <w:proofErr w:type="gramEnd"/>
      <w:r>
        <w:rPr>
          <w:rFonts w:ascii="Times New Roman" w:hAnsi="Times New Roman"/>
          <w:sz w:val="24"/>
          <w:szCs w:val="24"/>
        </w:rPr>
        <w:t xml:space="preserve"> подпрограммы муниципальной программы</w:t>
      </w: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«Эффективное управление муниципальными финансами ЗАТО Северск» за 2024 год</w:t>
      </w:r>
    </w:p>
    <w:p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6"/>
        <w:gridCol w:w="1911"/>
        <w:gridCol w:w="3940"/>
        <w:gridCol w:w="1060"/>
        <w:gridCol w:w="1157"/>
        <w:gridCol w:w="1185"/>
      </w:tblGrid>
      <w:tr>
        <w:trPr>
          <w:trHeight w:val="926"/>
        </w:trPr>
        <w:tc>
          <w:tcPr>
            <w:tcW w:w="386" w:type="dxa"/>
            <w:shd w:val="clear" w:color="auto" w:fill="auto"/>
            <w:hideMark/>
          </w:tcPr>
          <w:p>
            <w:pPr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11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Ответственный исполнитель, соисполнитель, участник</w:t>
            </w:r>
          </w:p>
        </w:tc>
        <w:tc>
          <w:tcPr>
            <w:tcW w:w="3940" w:type="dxa"/>
            <w:shd w:val="clear" w:color="auto" w:fill="auto"/>
            <w:hideMark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Распределение объема финансирования обеспечивающей подпрограммы по задачам деятельности ответственного исполнителя, соисполнителя, участника</w:t>
            </w:r>
          </w:p>
        </w:tc>
        <w:tc>
          <w:tcPr>
            <w:tcW w:w="1060" w:type="dxa"/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57" w:type="dxa"/>
            <w:shd w:val="clear" w:color="auto" w:fill="auto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Приме-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чание</w:t>
            </w:r>
            <w:proofErr w:type="spellEnd"/>
            <w:proofErr w:type="gramEnd"/>
          </w:p>
        </w:tc>
      </w:tr>
      <w:tr>
        <w:trPr>
          <w:trHeight w:val="200"/>
        </w:trPr>
        <w:tc>
          <w:tcPr>
            <w:tcW w:w="386" w:type="dxa"/>
            <w:shd w:val="clear" w:color="auto" w:fill="auto"/>
            <w:vAlign w:val="center"/>
            <w:hideMark/>
          </w:tcPr>
          <w:p>
            <w:pPr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1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40" w:type="dxa"/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7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5" w:type="dxa"/>
            <w:vAlign w:val="center"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525"/>
        </w:trPr>
        <w:tc>
          <w:tcPr>
            <w:tcW w:w="386" w:type="dxa"/>
            <w:vMerge w:val="restart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управление Администрации ЗАТО Северск</w:t>
            </w:r>
          </w:p>
        </w:tc>
        <w:tc>
          <w:tcPr>
            <w:tcW w:w="7342" w:type="dxa"/>
            <w:gridSpan w:val="4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Задача 1 «Обеспечение выполнения расходных обязательств и создание условий для их оптимизации»</w:t>
            </w:r>
          </w:p>
        </w:tc>
      </w:tr>
      <w:tr>
        <w:trPr>
          <w:trHeight w:val="374"/>
        </w:trPr>
        <w:tc>
          <w:tcPr>
            <w:tcW w:w="3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060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9 380,00</w:t>
            </w:r>
          </w:p>
        </w:tc>
        <w:tc>
          <w:tcPr>
            <w:tcW w:w="1157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9 380,00</w:t>
            </w:r>
          </w:p>
        </w:tc>
        <w:tc>
          <w:tcPr>
            <w:tcW w:w="1185" w:type="dxa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rPr>
          <w:trHeight w:val="1900"/>
        </w:trPr>
        <w:tc>
          <w:tcPr>
            <w:tcW w:w="3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Показатель 1 «Полнота исполнения расходных обязательств (без учета субвенций, субсидий и иных МБТ, имеющих целевое назначение)» задачи 1 деятельности ответственного исполнителя,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060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157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98,69</w:t>
            </w:r>
          </w:p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>
        <w:trPr>
          <w:trHeight w:val="851"/>
        </w:trPr>
        <w:tc>
          <w:tcPr>
            <w:tcW w:w="3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  <w:b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40" w:type="dxa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 всего, тыс. руб.</w:t>
            </w:r>
          </w:p>
        </w:tc>
        <w:tc>
          <w:tcPr>
            <w:tcW w:w="1060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9 380,00</w:t>
            </w:r>
          </w:p>
        </w:tc>
        <w:tc>
          <w:tcPr>
            <w:tcW w:w="1157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9 380,00</w:t>
            </w:r>
          </w:p>
        </w:tc>
        <w:tc>
          <w:tcPr>
            <w:tcW w:w="1185" w:type="dxa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>
        <w:trPr>
          <w:trHeight w:val="554"/>
        </w:trPr>
        <w:tc>
          <w:tcPr>
            <w:tcW w:w="386" w:type="dxa"/>
            <w:vMerge w:val="restart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</w:t>
            </w:r>
          </w:p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Администрации ЗАТО Северск </w:t>
            </w:r>
          </w:p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2" w:type="dxa"/>
            <w:gridSpan w:val="4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2 «Организация и обеспечение исполнения бюджета и формирование бюджетной отчетности»</w:t>
            </w:r>
          </w:p>
        </w:tc>
      </w:tr>
      <w:tr>
        <w:trPr>
          <w:trHeight w:val="238"/>
        </w:trPr>
        <w:tc>
          <w:tcPr>
            <w:tcW w:w="386" w:type="dxa"/>
            <w:vMerge/>
            <w:vAlign w:val="center"/>
            <w:hideMark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060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9 380,00</w:t>
            </w:r>
          </w:p>
        </w:tc>
        <w:tc>
          <w:tcPr>
            <w:tcW w:w="1157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9 380,00</w:t>
            </w:r>
          </w:p>
        </w:tc>
        <w:tc>
          <w:tcPr>
            <w:tcW w:w="1185" w:type="dxa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>
        <w:trPr>
          <w:trHeight w:val="238"/>
        </w:trPr>
        <w:tc>
          <w:tcPr>
            <w:tcW w:w="386" w:type="dxa"/>
            <w:vMerge/>
            <w:vAlign w:val="center"/>
            <w:hideMark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Показатель 1 «Равномерность исполнения расходов в течение года соответствии с кассовым планом (удельный вес расходов IV квартала)» задачи 2 деятельности ответственного исполнителя,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</w:t>
            </w:r>
          </w:p>
        </w:tc>
        <w:tc>
          <w:tcPr>
            <w:tcW w:w="1060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25</w:t>
            </w:r>
          </w:p>
        </w:tc>
        <w:tc>
          <w:tcPr>
            <w:tcW w:w="1157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25,39</w:t>
            </w:r>
          </w:p>
        </w:tc>
        <w:tc>
          <w:tcPr>
            <w:tcW w:w="1185" w:type="dxa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900"/>
        </w:trPr>
        <w:tc>
          <w:tcPr>
            <w:tcW w:w="3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Показатель 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«Просроченная кредиторская задолженность казенных учреждений» задачи 2 деятельности ответственного исполнителя, тыс. руб.</w:t>
            </w:r>
          </w:p>
        </w:tc>
        <w:tc>
          <w:tcPr>
            <w:tcW w:w="1060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57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185" w:type="dxa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>
        <w:trPr>
          <w:trHeight w:val="374"/>
        </w:trPr>
        <w:tc>
          <w:tcPr>
            <w:tcW w:w="386" w:type="dxa"/>
            <w:vMerge/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40" w:type="dxa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 всего, тыс. руб.</w:t>
            </w:r>
          </w:p>
        </w:tc>
        <w:tc>
          <w:tcPr>
            <w:tcW w:w="1060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9 380,00</w:t>
            </w:r>
          </w:p>
        </w:tc>
        <w:tc>
          <w:tcPr>
            <w:tcW w:w="1157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9 380,00</w:t>
            </w:r>
          </w:p>
        </w:tc>
        <w:tc>
          <w:tcPr>
            <w:tcW w:w="1185" w:type="dxa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>
        <w:trPr>
          <w:trHeight w:val="374"/>
        </w:trPr>
        <w:tc>
          <w:tcPr>
            <w:tcW w:w="386" w:type="dxa"/>
            <w:vAlign w:val="center"/>
          </w:tcPr>
          <w:p>
            <w:pPr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11" w:type="dxa"/>
            <w:shd w:val="clear" w:color="auto" w:fill="auto"/>
            <w:vAlign w:val="center"/>
          </w:tcPr>
          <w:p>
            <w:pPr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40" w:type="dxa"/>
            <w:shd w:val="clear" w:color="auto" w:fill="auto"/>
            <w:vAlign w:val="center"/>
          </w:tcPr>
          <w:p>
            <w:pPr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60" w:type="dxa"/>
            <w:shd w:val="clear" w:color="auto" w:fill="auto"/>
            <w:vAlign w:val="center"/>
          </w:tcPr>
          <w:p>
            <w:pPr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7" w:type="dxa"/>
            <w:shd w:val="clear" w:color="auto" w:fill="auto"/>
            <w:vAlign w:val="center"/>
          </w:tcPr>
          <w:p>
            <w:pPr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85" w:type="dxa"/>
            <w:vAlign w:val="center"/>
          </w:tcPr>
          <w:p>
            <w:pPr>
              <w:ind w:left="-93"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>
        <w:trPr>
          <w:trHeight w:val="554"/>
        </w:trPr>
        <w:tc>
          <w:tcPr>
            <w:tcW w:w="386" w:type="dxa"/>
            <w:vMerge w:val="restart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Финансовое управление </w:t>
            </w:r>
          </w:p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Администрации ЗАТО Северск</w:t>
            </w:r>
          </w:p>
        </w:tc>
        <w:tc>
          <w:tcPr>
            <w:tcW w:w="7342" w:type="dxa"/>
            <w:gridSpan w:val="4"/>
            <w:shd w:val="clear" w:color="auto" w:fill="auto"/>
            <w:hideMark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 3 «Обеспечение контроля за соблюдением бюджетного законодательства»</w:t>
            </w:r>
          </w:p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374"/>
        </w:trPr>
        <w:tc>
          <w:tcPr>
            <w:tcW w:w="3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060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9 380,00</w:t>
            </w:r>
          </w:p>
        </w:tc>
        <w:tc>
          <w:tcPr>
            <w:tcW w:w="1157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9 380,00</w:t>
            </w:r>
          </w:p>
        </w:tc>
        <w:tc>
          <w:tcPr>
            <w:tcW w:w="1185" w:type="dxa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646"/>
        </w:trPr>
        <w:tc>
          <w:tcPr>
            <w:tcW w:w="3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Показатель 1 «Обеспечение устранения выявленных финансовых нарушений» задачи 3 деятельности ответственного исполнителя,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060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89,00</w:t>
            </w:r>
          </w:p>
        </w:tc>
        <w:tc>
          <w:tcPr>
            <w:tcW w:w="1157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32,91</w:t>
            </w:r>
          </w:p>
        </w:tc>
        <w:tc>
          <w:tcPr>
            <w:tcW w:w="1185" w:type="dxa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281"/>
        </w:trPr>
        <w:tc>
          <w:tcPr>
            <w:tcW w:w="3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 всего, тыс. руб.</w:t>
            </w:r>
          </w:p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9 380,00</w:t>
            </w:r>
          </w:p>
        </w:tc>
        <w:tc>
          <w:tcPr>
            <w:tcW w:w="1157" w:type="dxa"/>
            <w:shd w:val="clear" w:color="auto" w:fill="auto"/>
          </w:tcPr>
          <w:p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9 380,00</w:t>
            </w:r>
          </w:p>
        </w:tc>
        <w:tc>
          <w:tcPr>
            <w:tcW w:w="1185" w:type="dxa"/>
          </w:tcPr>
          <w:p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566"/>
        </w:trPr>
        <w:tc>
          <w:tcPr>
            <w:tcW w:w="386" w:type="dxa"/>
            <w:vMerge w:val="restart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11" w:type="dxa"/>
            <w:vMerge w:val="restart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управление Администрации ЗАТО Северск</w:t>
            </w:r>
          </w:p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342" w:type="dxa"/>
            <w:gridSpan w:val="4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Задача 4 «Осуществление экономического планирования, ведения бюджетного, налогового учета, составления отчетности, контроля расходования средств»</w:t>
            </w:r>
          </w:p>
          <w:p>
            <w:pPr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300"/>
        </w:trPr>
        <w:tc>
          <w:tcPr>
            <w:tcW w:w="3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060" w:type="dxa"/>
            <w:shd w:val="clear" w:color="auto" w:fill="auto"/>
          </w:tcPr>
          <w:p>
            <w:pPr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5 880,54</w:t>
            </w:r>
          </w:p>
        </w:tc>
        <w:tc>
          <w:tcPr>
            <w:tcW w:w="1157" w:type="dxa"/>
            <w:shd w:val="clear" w:color="auto" w:fill="auto"/>
          </w:tcPr>
          <w:p>
            <w:pPr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5 483,37</w:t>
            </w:r>
          </w:p>
        </w:tc>
        <w:tc>
          <w:tcPr>
            <w:tcW w:w="1185" w:type="dxa"/>
          </w:tcPr>
          <w:p>
            <w:pPr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2789"/>
        </w:trPr>
        <w:tc>
          <w:tcPr>
            <w:tcW w:w="3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4" w:space="0" w:color="auto"/>
            </w:tcBorders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Показатель 1 «Своевременность предоставления и соблюдение требований по экономической, бухгалтерской, бюджетной, статистической и налоговой отчетности в соответствующие органы» задачи 4 деятельности ответственного исполнителя, сданных в установленные сроки отчетных документов,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85" w:type="dxa"/>
            <w:tcBorders>
              <w:bottom w:val="single" w:sz="4" w:space="0" w:color="auto"/>
            </w:tcBorders>
          </w:tcPr>
          <w:p>
            <w:pPr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268"/>
        </w:trPr>
        <w:tc>
          <w:tcPr>
            <w:tcW w:w="386" w:type="dxa"/>
            <w:vMerge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911" w:type="dxa"/>
            <w:vMerge/>
            <w:shd w:val="clear" w:color="auto" w:fill="auto"/>
            <w:vAlign w:val="center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3940" w:type="dxa"/>
            <w:shd w:val="clear" w:color="auto" w:fill="auto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 всего, тыс. руб.</w:t>
            </w:r>
          </w:p>
        </w:tc>
        <w:tc>
          <w:tcPr>
            <w:tcW w:w="1060" w:type="dxa"/>
            <w:shd w:val="clear" w:color="auto" w:fill="auto"/>
          </w:tcPr>
          <w:p>
            <w:pPr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5 880,54</w:t>
            </w:r>
          </w:p>
        </w:tc>
        <w:tc>
          <w:tcPr>
            <w:tcW w:w="1157" w:type="dxa"/>
            <w:shd w:val="clear" w:color="auto" w:fill="auto"/>
          </w:tcPr>
          <w:p>
            <w:pPr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5 483,37</w:t>
            </w:r>
          </w:p>
        </w:tc>
        <w:tc>
          <w:tcPr>
            <w:tcW w:w="1185" w:type="dxa"/>
          </w:tcPr>
          <w:p>
            <w:pPr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rPr>
          <w:trHeight w:val="374"/>
        </w:trPr>
        <w:tc>
          <w:tcPr>
            <w:tcW w:w="6237" w:type="dxa"/>
            <w:gridSpan w:val="3"/>
            <w:hideMark/>
          </w:tcPr>
          <w:p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 объем финансирования по обеспечивающей подпрограмме, тыс. руб.</w:t>
            </w:r>
          </w:p>
        </w:tc>
        <w:tc>
          <w:tcPr>
            <w:tcW w:w="1060" w:type="dxa"/>
            <w:shd w:val="clear" w:color="auto" w:fill="auto"/>
          </w:tcPr>
          <w:p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34 020,54</w:t>
            </w:r>
          </w:p>
        </w:tc>
        <w:tc>
          <w:tcPr>
            <w:tcW w:w="1157" w:type="dxa"/>
            <w:shd w:val="clear" w:color="auto" w:fill="auto"/>
          </w:tcPr>
          <w:p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33 623,37</w:t>
            </w:r>
          </w:p>
        </w:tc>
        <w:tc>
          <w:tcPr>
            <w:tcW w:w="1185" w:type="dxa"/>
          </w:tcPr>
          <w:p>
            <w:pPr>
              <w:ind w:left="-108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p>
      <w:pPr>
        <w:rPr>
          <w:sz w:val="22"/>
          <w:szCs w:val="22"/>
          <w:highlight w:val="yellow"/>
        </w:rPr>
      </w:pPr>
    </w:p>
    <w:sectPr>
      <w:headerReference w:type="default" r:id="rId7"/>
      <w:footerReference w:type="default" r:id="rId8"/>
      <w:foot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rPr>
        <w:rFonts w:ascii="Times New Roman" w:hAnsi="Times New Roman"/>
      </w:rPr>
    </w:pPr>
    <w:r>
      <w:rPr>
        <w:rFonts w:ascii="Times New Roman" w:hAnsi="Times New Roman"/>
      </w:rPr>
      <w:t>Внутренний номер: 343300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rPr>
        <w:rFonts w:ascii="Times New Roman" w:hAnsi="Times New Roman"/>
      </w:rPr>
    </w:pPr>
    <w:r>
      <w:rPr>
        <w:rFonts w:ascii="Times New Roman" w:hAnsi="Times New Roman"/>
      </w:rPr>
      <w:t>Внутренний номер: 343300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57570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>
        <w:pPr>
          <w:pStyle w:val="a3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 xml:space="preserve"> PAGE   \* MERGEFORMAT </w:instrText>
        </w:r>
        <w:r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</w:rPr>
          <w:t>2</w:t>
        </w:r>
        <w:r>
          <w:rPr>
            <w:noProof/>
            <w:color w:val="FFFFFF" w:themeColor="background1"/>
          </w:rP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F473E2-6348-4ADE-94A9-6C7D803A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ody Text"/>
    <w:basedOn w:val="a"/>
    <w:link w:val="aa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57A21-B470-41D8-AFA3-F12F29B83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Ткачева Т.Н.</cp:lastModifiedBy>
  <cp:revision>10</cp:revision>
  <cp:lastPrinted>2024-02-14T09:37:00Z</cp:lastPrinted>
  <dcterms:created xsi:type="dcterms:W3CDTF">2025-01-28T10:51:00Z</dcterms:created>
  <dcterms:modified xsi:type="dcterms:W3CDTF">2025-02-26T10:21:00Z</dcterms:modified>
</cp:coreProperties>
</file>